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FOR IMMEDIATE RELEASE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[Region]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libraries launch local author contest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[Region]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Author Project creates opportunities for indie-published authors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[ 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Library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] </w:t>
      </w:r>
      <w:r>
        <w:rPr>
          <w:rFonts w:ascii="Times New Roman" w:hAnsi="Times New Roman"/>
          <w:sz w:val="24"/>
          <w:szCs w:val="24"/>
          <w:rtl w:val="0"/>
          <w:lang w:val="en-US"/>
        </w:rPr>
        <w:t>is pleased to join in the announcement of a local author contest that will accept submissions of adult and young adult fiction, to be recognized as the top ind</w:t>
      </w:r>
      <w:r>
        <w:rPr>
          <w:rFonts w:ascii="Times New Roman" w:hAnsi="Times New Roman"/>
          <w:sz w:val="24"/>
          <w:szCs w:val="24"/>
          <w:rtl w:val="0"/>
          <w:lang w:val="en-US"/>
        </w:rPr>
        <w:t>ie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-published eBooks in 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[Region]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Winners in each category will receive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$500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as well as: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Inclusion in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Indie 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[Region]</w:t>
      </w:r>
      <w:r>
        <w:rPr>
          <w:rFonts w:ascii="Times New Roman" w:hAnsi="Times New Roman"/>
          <w:sz w:val="24"/>
          <w:szCs w:val="24"/>
          <w:rtl w:val="0"/>
          <w:lang w:val="en-US"/>
        </w:rPr>
        <w:t>, a digital collection of local authors on BiblioBoard Library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Honors at the 202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spring IAP Reception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Opportunities to promote the winning title at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Region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] </w:t>
      </w:r>
      <w:r>
        <w:rPr>
          <w:rFonts w:ascii="Times New Roman" w:hAnsi="Times New Roman"/>
          <w:sz w:val="24"/>
          <w:szCs w:val="24"/>
          <w:rtl w:val="0"/>
          <w:lang w:val="en-US"/>
        </w:rPr>
        <w:t>public libraries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Inclusion in a full page spread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Library Journal</w:t>
      </w:r>
      <w:r>
        <w:rPr>
          <w:rFonts w:ascii="Times New Roman" w:hAnsi="Times New Roman"/>
          <w:sz w:val="24"/>
          <w:szCs w:val="24"/>
          <w:rtl w:val="0"/>
          <w:lang w:val="en-US"/>
        </w:rPr>
        <w:t>, one of America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oldest and most renowned trade publications for library news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Opportunities earn royalties through the IAP Select collection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creation of the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Region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]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Author Project gives librarians not only a chance to engage with a growing group of fresh literary voices, but also an opportunity to play an active role in the discovery and promotion of new works.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indie-published authors, the contest is a fantastic prospect to elevate their careers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expand their readership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Along with the accolade of the award and its perks, being recognized by librarians creates credibility and visibility in the growing marketplace of digital content and indie-published books. Winning authors will reach hundreds if not thousands of new readers via the library, and can also leverage being an award-winning indie author for additional marketing opportunities.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[Quote from library on connecting with and supporting local, indie authors]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Each book that is submitted to the contest must be: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Independently-published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the category of adult or young adult fiction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Written by a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Region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] </w:t>
      </w:r>
      <w:r>
        <w:rPr>
          <w:rFonts w:ascii="Times New Roman" w:hAnsi="Times New Roman"/>
          <w:sz w:val="24"/>
          <w:szCs w:val="24"/>
          <w:rtl w:val="0"/>
          <w:lang w:val="it-IT"/>
        </w:rPr>
        <w:t>resident</w:t>
      </w:r>
    </w:p>
    <w:p>
      <w:pPr>
        <w:pStyle w:val="Body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Available in either PDF or ePUB format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contest will accept submissions April 1, 20</w:t>
      </w:r>
      <w:r>
        <w:rPr>
          <w:rFonts w:ascii="Times New Roman" w:hAnsi="Times New Roman"/>
          <w:sz w:val="24"/>
          <w:szCs w:val="24"/>
          <w:rtl w:val="0"/>
          <w:lang w:val="en-US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through May 31, 20</w:t>
      </w:r>
      <w:r>
        <w:rPr>
          <w:rFonts w:ascii="Times New Roman" w:hAnsi="Times New Roman"/>
          <w:sz w:val="24"/>
          <w:szCs w:val="24"/>
          <w:rtl w:val="0"/>
          <w:lang w:val="en-US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. Authors can submit at indieauthorproject.librariesshare.com/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region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]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Contact: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[name], [position]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[library]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[phone]</w:t>
      </w:r>
    </w:p>
    <w:p>
      <w:pPr>
        <w:pStyle w:val="Body"/>
        <w:spacing w:line="240" w:lineRule="auto"/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[email address]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